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22" w:rsidRDefault="009843CD">
      <w:pPr>
        <w:rPr>
          <w:rStyle w:val="Strong"/>
          <w:rFonts w:ascii="Arial" w:hAnsi="Arial" w:cs="Arial"/>
          <w:color w:val="0000FF"/>
          <w:sz w:val="36"/>
          <w:szCs w:val="36"/>
          <w:shd w:val="clear" w:color="auto" w:fill="FFFFFF"/>
        </w:rPr>
      </w:pPr>
      <w:r>
        <w:rPr>
          <w:rStyle w:val="Strong"/>
          <w:rFonts w:ascii="Arial" w:hAnsi="Arial" w:cs="Arial"/>
          <w:color w:val="0000FF"/>
          <w:sz w:val="36"/>
          <w:szCs w:val="36"/>
          <w:shd w:val="clear" w:color="auto" w:fill="FFFFFF"/>
        </w:rPr>
        <w:t>Mai compactor WACKER NEUSON BS 60-2i</w:t>
      </w:r>
    </w:p>
    <w:p w:rsidR="009843CD" w:rsidRDefault="009843CD">
      <w:pPr>
        <w:rPr>
          <w:rStyle w:val="Strong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9843CD" w:rsidRPr="009843CD" w:rsidTr="009843CD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BS 60-2i</w:t>
            </w:r>
          </w:p>
        </w:tc>
      </w:tr>
      <w:tr w:rsidR="009843CD" w:rsidRPr="009843CD" w:rsidTr="009843C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comanda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50009419</w:t>
            </w:r>
          </w:p>
        </w:tc>
      </w:tr>
      <w:tr w:rsidR="009843CD" w:rsidRPr="009843CD" w:rsidTr="009843CD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9843CD" w:rsidRPr="009843CD" w:rsidTr="009843C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1.8 kW</w:t>
            </w:r>
          </w:p>
        </w:tc>
      </w:tr>
      <w:tr w:rsidR="009843CD" w:rsidRPr="009843CD" w:rsidTr="009843CD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WM80</w:t>
            </w:r>
          </w:p>
        </w:tc>
      </w:tr>
      <w:tr w:rsidR="009843CD" w:rsidRPr="009843CD" w:rsidTr="009843C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benzina</w:t>
            </w:r>
            <w:proofErr w:type="spellEnd"/>
          </w:p>
        </w:tc>
      </w:tr>
      <w:tr w:rsidR="009843CD" w:rsidRPr="009843CD" w:rsidTr="009843CD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Pornire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</w:t>
            </w:r>
          </w:p>
        </w:tc>
      </w:tr>
      <w:tr w:rsidR="009843CD" w:rsidRPr="009843CD" w:rsidTr="009843C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Turatie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4400 rpm</w:t>
            </w:r>
          </w:p>
        </w:tc>
      </w:tr>
      <w:tr w:rsidR="009843CD" w:rsidRPr="009843CD" w:rsidTr="009843CD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80 </w:t>
            </w: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9843CD" w:rsidRPr="009843CD" w:rsidTr="009843C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 la 75%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1.2 l/</w:t>
            </w: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ora</w:t>
            </w:r>
            <w:proofErr w:type="spellEnd"/>
          </w:p>
        </w:tc>
      </w:tr>
      <w:tr w:rsidR="009843CD" w:rsidRPr="009843CD" w:rsidTr="009843CD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 l</w:t>
            </w:r>
          </w:p>
        </w:tc>
      </w:tr>
      <w:tr w:rsidR="009843CD" w:rsidRPr="009843CD" w:rsidTr="009843C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Energie</w:t>
            </w:r>
            <w:proofErr w:type="spellEnd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impact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85 J</w:t>
            </w:r>
          </w:p>
        </w:tc>
      </w:tr>
      <w:tr w:rsidR="009843CD" w:rsidRPr="009843CD" w:rsidTr="009843CD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Aria de </w:t>
            </w: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compactare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164 </w:t>
            </w: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mp</w:t>
            </w:r>
            <w:proofErr w:type="spellEnd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/h</w:t>
            </w:r>
          </w:p>
        </w:tc>
      </w:tr>
      <w:tr w:rsidR="009843CD" w:rsidRPr="009843CD" w:rsidTr="009843C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batailor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700/min</w:t>
            </w:r>
          </w:p>
        </w:tc>
      </w:tr>
      <w:tr w:rsidR="009843CD" w:rsidRPr="009843CD" w:rsidTr="009843CD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talpa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280x342 mm</w:t>
            </w:r>
          </w:p>
        </w:tc>
      </w:tr>
      <w:tr w:rsidR="009843CD" w:rsidRPr="009843CD" w:rsidTr="009843C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Lxlxh</w:t>
            </w:r>
            <w:proofErr w:type="spellEnd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675 x 345 x 965 mm</w:t>
            </w:r>
          </w:p>
        </w:tc>
      </w:tr>
      <w:tr w:rsidR="009843CD" w:rsidRPr="009843CD" w:rsidTr="009843CD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64.00</w:t>
            </w:r>
          </w:p>
        </w:tc>
      </w:tr>
      <w:tr w:rsidR="009843CD" w:rsidRPr="009843CD" w:rsidTr="009843CD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843CD" w:rsidRPr="009843CD" w:rsidRDefault="009843CD" w:rsidP="009843CD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Maner</w:t>
            </w:r>
            <w:proofErr w:type="spellEnd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role, </w:t>
            </w: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carte </w:t>
            </w: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certificat</w:t>
            </w:r>
            <w:proofErr w:type="spellEnd"/>
            <w:r w:rsidRPr="009843C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CE.</w:t>
            </w:r>
          </w:p>
        </w:tc>
      </w:tr>
    </w:tbl>
    <w:p w:rsidR="009843CD" w:rsidRDefault="009843CD"/>
    <w:p w:rsidR="009843CD" w:rsidRPr="009843CD" w:rsidRDefault="009843CD" w:rsidP="009843C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Mai compactor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benzina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injectie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ulei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, 64Kg, BS 60-2i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Motorul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WM 80 cu care WACKER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dotează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exclusiv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maiurile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compactoare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special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conceput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construit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acestea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respectă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standardele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Europene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EPA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emisie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Carburatorul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ventilat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patentat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elimină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aerul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alimentare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asigurând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pornire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ușoară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Supapa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admisie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maneta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multifuncţională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pornire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exploatare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ușoară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eliminând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aerul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admisie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special cu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trei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etape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filtrare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aerului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unaer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lipsit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impurităţi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motor,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lungind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durata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viaţă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acestuia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. Un indicator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îmbâcsire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filtrului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arată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gradul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îmbâcsire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acestuia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indicând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momentul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când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lastRenderedPageBreak/>
        <w:t>acesta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trebuie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schimbat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Mânerul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înglobează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tehnologie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avansată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sitemul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amortizare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vibraţilor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mână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asigurâd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confort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exploatare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9843CD" w:rsidRPr="009843CD" w:rsidRDefault="009843CD" w:rsidP="0098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3CD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9843CD" w:rsidRPr="009843CD" w:rsidRDefault="009843CD" w:rsidP="009843C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9843CD">
        <w:rPr>
          <w:rFonts w:ascii="Arial" w:eastAsia="Times New Roman" w:hAnsi="Arial" w:cs="Arial"/>
          <w:b/>
          <w:bCs/>
          <w:color w:val="333333"/>
          <w:sz w:val="27"/>
          <w:szCs w:val="27"/>
        </w:rPr>
        <w:t>Maneta</w:t>
      </w:r>
      <w:proofErr w:type="spellEnd"/>
      <w:r w:rsidRPr="009843C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de </w:t>
      </w:r>
      <w:proofErr w:type="spellStart"/>
      <w:r w:rsidRPr="009843CD">
        <w:rPr>
          <w:rFonts w:ascii="Arial" w:eastAsia="Times New Roman" w:hAnsi="Arial" w:cs="Arial"/>
          <w:b/>
          <w:bCs/>
          <w:color w:val="333333"/>
          <w:sz w:val="27"/>
          <w:szCs w:val="27"/>
        </w:rPr>
        <w:t>acceleratie</w:t>
      </w:r>
      <w:proofErr w:type="spellEnd"/>
      <w:r w:rsidRPr="009843C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9843CD">
        <w:rPr>
          <w:rFonts w:ascii="Arial" w:eastAsia="Times New Roman" w:hAnsi="Arial" w:cs="Arial"/>
          <w:b/>
          <w:bCs/>
          <w:color w:val="333333"/>
          <w:sz w:val="27"/>
          <w:szCs w:val="27"/>
        </w:rPr>
        <w:t>ergonomica</w:t>
      </w:r>
      <w:proofErr w:type="spellEnd"/>
    </w:p>
    <w:p w:rsidR="009843CD" w:rsidRPr="009843CD" w:rsidRDefault="009843CD" w:rsidP="0098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3CD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9843CD" w:rsidRPr="00E57B9E" w:rsidRDefault="009843CD" w:rsidP="00E57B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Maneta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acceleratie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ergonomica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imbunatatita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un control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bun al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masinariei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>.</w:t>
      </w:r>
      <w:bookmarkStart w:id="0" w:name="_GoBack"/>
      <w:bookmarkEnd w:id="0"/>
    </w:p>
    <w:p w:rsidR="009843CD" w:rsidRPr="009843CD" w:rsidRDefault="009843CD" w:rsidP="009843C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automat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oprire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elimină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perioadele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mers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gol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reduce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emisiile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carbon precum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depunerile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acestuia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Maiul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compactor robust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proiectat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compactarea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solurilor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coezive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mixte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granulate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suprafeţe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înguste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9843CD" w:rsidRPr="009843CD" w:rsidRDefault="009843CD" w:rsidP="0098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3CD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9843CD" w:rsidRPr="009843CD" w:rsidRDefault="009843CD" w:rsidP="009843C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9843CD">
        <w:rPr>
          <w:rFonts w:ascii="Arial" w:eastAsia="Times New Roman" w:hAnsi="Arial" w:cs="Arial"/>
          <w:b/>
          <w:bCs/>
          <w:color w:val="000000"/>
          <w:sz w:val="27"/>
          <w:szCs w:val="27"/>
        </w:rPr>
        <w:t>Rezervor</w:t>
      </w:r>
      <w:proofErr w:type="spellEnd"/>
      <w:r w:rsidRPr="009843C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de </w:t>
      </w:r>
      <w:proofErr w:type="spellStart"/>
      <w:r w:rsidRPr="009843CD">
        <w:rPr>
          <w:rFonts w:ascii="Arial" w:eastAsia="Times New Roman" w:hAnsi="Arial" w:cs="Arial"/>
          <w:b/>
          <w:bCs/>
          <w:color w:val="000000"/>
          <w:sz w:val="27"/>
          <w:szCs w:val="27"/>
        </w:rPr>
        <w:t>ulei</w:t>
      </w:r>
      <w:proofErr w:type="spellEnd"/>
      <w:r w:rsidRPr="009843C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9843CD">
        <w:rPr>
          <w:rFonts w:ascii="Arial" w:eastAsia="Times New Roman" w:hAnsi="Arial" w:cs="Arial"/>
          <w:b/>
          <w:bCs/>
          <w:color w:val="000000"/>
          <w:sz w:val="27"/>
          <w:szCs w:val="27"/>
        </w:rPr>
        <w:t>orizontal</w:t>
      </w:r>
      <w:proofErr w:type="spellEnd"/>
      <w:r w:rsidRPr="009843C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9843CD">
        <w:rPr>
          <w:rFonts w:ascii="Arial" w:eastAsia="Times New Roman" w:hAnsi="Arial" w:cs="Arial"/>
          <w:b/>
          <w:bCs/>
          <w:color w:val="000000"/>
          <w:sz w:val="27"/>
          <w:szCs w:val="27"/>
        </w:rPr>
        <w:t>protejat</w:t>
      </w:r>
      <w:proofErr w:type="spellEnd"/>
    </w:p>
    <w:p w:rsidR="009843CD" w:rsidRPr="009843CD" w:rsidRDefault="009843CD" w:rsidP="0098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3CD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9843CD" w:rsidRPr="00E57B9E" w:rsidRDefault="009843CD" w:rsidP="00E57B9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Odata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noua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generatie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compactoare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rezervorul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ulei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pozitionat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jos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astfel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bine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protejat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impotriva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deteriorarii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9843CD" w:rsidRPr="009843CD" w:rsidRDefault="009843CD" w:rsidP="009843C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unic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autodozaj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performanţe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demne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încredere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eliminând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defectarea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bujiei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depunerile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carbon. Nu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nevoie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prepararea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amestecului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asigurând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confort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sporit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exploatare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plus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raportul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uluitor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amestec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120:1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permite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funcţionare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curată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lungă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durată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până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la 65 de ore cu un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rezervor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ulei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Maiul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compactor, BS 60-2i,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cea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buna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alegere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firmele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constructii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 xml:space="preserve"> nu </w:t>
      </w:r>
      <w:proofErr w:type="spellStart"/>
      <w:r w:rsidRPr="009843CD">
        <w:rPr>
          <w:rFonts w:ascii="Arial" w:eastAsia="Times New Roman" w:hAnsi="Arial" w:cs="Arial"/>
          <w:color w:val="333333"/>
          <w:sz w:val="21"/>
          <w:szCs w:val="21"/>
        </w:rPr>
        <w:t>numai</w:t>
      </w:r>
      <w:proofErr w:type="spellEnd"/>
      <w:r w:rsidRPr="009843CD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9843CD" w:rsidRPr="009843CD" w:rsidRDefault="009843CD" w:rsidP="0098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3CD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9843CD" w:rsidRPr="009843CD" w:rsidRDefault="009843CD" w:rsidP="009843C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9843CD">
        <w:rPr>
          <w:rFonts w:ascii="Arial" w:eastAsia="Times New Roman" w:hAnsi="Arial" w:cs="Arial"/>
          <w:b/>
          <w:bCs/>
          <w:color w:val="000000"/>
          <w:sz w:val="27"/>
          <w:szCs w:val="27"/>
        </w:rPr>
        <w:t>Toarta</w:t>
      </w:r>
      <w:proofErr w:type="spellEnd"/>
      <w:r w:rsidRPr="009843CD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de transport </w:t>
      </w:r>
      <w:proofErr w:type="spellStart"/>
      <w:r w:rsidRPr="009843CD">
        <w:rPr>
          <w:rFonts w:ascii="Arial" w:eastAsia="Times New Roman" w:hAnsi="Arial" w:cs="Arial"/>
          <w:b/>
          <w:bCs/>
          <w:color w:val="000000"/>
          <w:sz w:val="27"/>
          <w:szCs w:val="27"/>
        </w:rPr>
        <w:t>optimizata</w:t>
      </w:r>
      <w:proofErr w:type="spellEnd"/>
    </w:p>
    <w:p w:rsidR="009843CD" w:rsidRPr="009843CD" w:rsidRDefault="009843CD" w:rsidP="0098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3CD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9843CD" w:rsidRPr="009843CD" w:rsidRDefault="009843CD" w:rsidP="009843C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9843CD">
        <w:rPr>
          <w:rFonts w:ascii="Arial" w:eastAsia="Times New Roman" w:hAnsi="Arial" w:cs="Arial"/>
          <w:color w:val="000000"/>
          <w:sz w:val="21"/>
          <w:szCs w:val="21"/>
        </w:rPr>
        <w:t>Toarta</w:t>
      </w:r>
      <w:proofErr w:type="spellEnd"/>
      <w:r w:rsidRPr="009843CD">
        <w:rPr>
          <w:rFonts w:ascii="Arial" w:eastAsia="Times New Roman" w:hAnsi="Arial" w:cs="Arial"/>
          <w:color w:val="000000"/>
          <w:sz w:val="21"/>
          <w:szCs w:val="21"/>
        </w:rPr>
        <w:t xml:space="preserve"> de transport </w:t>
      </w:r>
      <w:proofErr w:type="spellStart"/>
      <w:r w:rsidRPr="009843CD">
        <w:rPr>
          <w:rFonts w:ascii="Arial" w:eastAsia="Times New Roman" w:hAnsi="Arial" w:cs="Arial"/>
          <w:color w:val="000000"/>
          <w:sz w:val="21"/>
          <w:szCs w:val="21"/>
        </w:rPr>
        <w:t>mai</w:t>
      </w:r>
      <w:proofErr w:type="spellEnd"/>
      <w:r w:rsidRPr="009843CD">
        <w:rPr>
          <w:rFonts w:ascii="Arial" w:eastAsia="Times New Roman" w:hAnsi="Arial" w:cs="Arial"/>
          <w:color w:val="000000"/>
          <w:sz w:val="21"/>
          <w:szCs w:val="21"/>
        </w:rPr>
        <w:t xml:space="preserve"> mare </w:t>
      </w:r>
      <w:proofErr w:type="spellStart"/>
      <w:r w:rsidRPr="009843CD">
        <w:rPr>
          <w:rFonts w:ascii="Arial" w:eastAsia="Times New Roman" w:hAnsi="Arial" w:cs="Arial"/>
          <w:color w:val="000000"/>
          <w:sz w:val="21"/>
          <w:szCs w:val="21"/>
        </w:rPr>
        <w:t>ofera</w:t>
      </w:r>
      <w:proofErr w:type="spellEnd"/>
      <w:r w:rsidRPr="009843C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000000"/>
          <w:sz w:val="21"/>
          <w:szCs w:val="21"/>
        </w:rPr>
        <w:t>mai</w:t>
      </w:r>
      <w:proofErr w:type="spellEnd"/>
      <w:r w:rsidRPr="009843C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000000"/>
          <w:sz w:val="21"/>
          <w:szCs w:val="21"/>
        </w:rPr>
        <w:t>mult</w:t>
      </w:r>
      <w:proofErr w:type="spellEnd"/>
      <w:r w:rsidRPr="009843CD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9843CD">
        <w:rPr>
          <w:rFonts w:ascii="Arial" w:eastAsia="Times New Roman" w:hAnsi="Arial" w:cs="Arial"/>
          <w:color w:val="000000"/>
          <w:sz w:val="21"/>
          <w:szCs w:val="21"/>
        </w:rPr>
        <w:t>spatiu</w:t>
      </w:r>
      <w:proofErr w:type="spellEnd"/>
      <w:r w:rsidRPr="009843CD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9843CD" w:rsidRDefault="009843CD"/>
    <w:sectPr w:rsidR="00984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CD"/>
    <w:rsid w:val="008A6522"/>
    <w:rsid w:val="009843CD"/>
    <w:rsid w:val="00E5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CE7A"/>
  <w15:chartTrackingRefBased/>
  <w15:docId w15:val="{E8A97E71-2224-44BE-93C4-6FF0049F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843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2017-09-05T10:59:00Z</dcterms:created>
  <dcterms:modified xsi:type="dcterms:W3CDTF">2017-09-05T12:04:00Z</dcterms:modified>
</cp:coreProperties>
</file>